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454545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454545"/>
          <w:spacing w:val="0"/>
          <w:sz w:val="44"/>
          <w:szCs w:val="44"/>
        </w:rPr>
        <w:t>关于进一步落实事业体制公证机构</w:t>
      </w:r>
    </w:p>
    <w:p>
      <w:pPr>
        <w:pStyle w:val="2"/>
        <w:keepNext w:val="0"/>
        <w:keepLines w:val="0"/>
        <w:pageBreakBefore w:val="0"/>
        <w:widowControl/>
        <w:tabs>
          <w:tab w:val="left" w:pos="2098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454545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54545"/>
          <w:spacing w:val="0"/>
          <w:sz w:val="44"/>
          <w:szCs w:val="44"/>
        </w:rPr>
        <w:t>独立法人地位的指导意见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454545"/>
          <w:spacing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　　为进一步落实事业体制公证机构独立法人地位，根据《中华人民共和国公证法》、《公证机构执业管理办法》以及国家和我省有关事业单位管理规定，结合我省公证工作实际，现提出如下指导意见：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454545"/>
          <w:spacing w:val="0"/>
          <w:sz w:val="32"/>
          <w:szCs w:val="32"/>
        </w:rPr>
        <w:t>　　一、人员管理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公证处实行主任负责制，设主任一名，主持公证处的全面工作，接受主管司法局监督、指导。根据当地编委核定，可设副主任协助主任工作。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公证处主任应当在具有3年以上执业经历的公证员中推选产生，推选结果报主管司法局核准。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公证处主任的选任与公证机构年度考核相挂钩，任期内公证机构2次考核不合格，不得继续担任主任职务，应在符合条件人员中另行组织推选。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公证处实行岗位目标责任制。公证处可合理发展非在编公证员；根据岗位设置情况和工作需要，自主聘用、返聘公证员和其他人员。对所有岗位（包括在编、不在编）进行定岗定编定责。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健全公证人员管理培养制度。公证处要完善公证员和公证员助理管理制度；充分发挥职称的导向、评价和激励作用，鼓励公证员申报参评专业技术资格；加强对公证员的职业道德、执业纪律和业务素质的教育培训；注重青年公证员的选拔培养和人才梯队建设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454545"/>
          <w:spacing w:val="0"/>
          <w:sz w:val="32"/>
          <w:szCs w:val="32"/>
        </w:rPr>
        <w:t>二、财务管理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要设立独立基本账户，根据业务发展需要设立提存账户，实行财务独立核算，并严格执行国家的法律、法规和财政、财务政策，建立健全内部财务管理制度，自觉接受司法行政机关和财政、审计、纪检监察等部门的监督检查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公证处应当设置独立财务机构，分设会计和出纳岗位，会计人员应具备从业资格。要保证会计人员的相对稳定，会计人员的调整应报主管司法局备案。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（八）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公证处应当加强财务收支管理，对各项办公业务经费开支（不包括办公场地租赁、装修费）进行总额控制。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　　办公场地租赁、装修费用支出（附租赁、装修合同）须报主管司法局备案。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（九）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公证处应按有关法律和规定加强现金和票据管理。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（十）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公证处各项日常经费开支由公证处自行决定，但日常单笔较大的开支，应经公证处处务会议讨论决定。公证处对自行开支项目的审批权限，应在内部管理制度中予以明确，并报主管司法局备案。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（十一）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公证处应当依法收费，按规定缴纳基本养老保险</w:t>
      </w:r>
      <w:r>
        <w:rPr>
          <w:rFonts w:hint="eastAsia" w:ascii="仿宋_GB2312" w:hAnsi="仿宋_GB2312" w:eastAsia="仿宋_GB2312" w:cs="仿宋_GB2312"/>
          <w:color w:val="454545"/>
          <w:spacing w:val="-11"/>
          <w:sz w:val="32"/>
          <w:szCs w:val="32"/>
        </w:rPr>
        <w:t>金、医疗保险、失业保险、工伤保险、生育保险和住房公积金等。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（十二）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公证处应当按照规定及时缴纳行业协会会费、公证赔偿基金。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（十三）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公证处应提取盈余公积，用于事业发展等。提取比例不低于当年盈余的10%。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（十四）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公证处不得私设小金库；不得擅自将单位资金借</w:t>
      </w:r>
      <w:r>
        <w:rPr>
          <w:rFonts w:hint="eastAsia" w:ascii="仿宋_GB2312" w:hAnsi="仿宋_GB2312" w:eastAsia="仿宋_GB2312" w:cs="仿宋_GB2312"/>
          <w:color w:val="454545"/>
          <w:spacing w:val="-11"/>
          <w:sz w:val="32"/>
          <w:szCs w:val="32"/>
        </w:rPr>
        <w:t>给任何单位和个人；不得擅自为任何单位和个人提供财产担保。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（十五）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公证处应贯彻执行国家有关国有资产管理的法律、法规和规定，建立健全本单位固定资产管理各项制度，加强固定资产的日常管理工作。固定资产的购置、转让和报废应按照规定程序办理相关手续。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（十六）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公证处要配备专职或兼职人员负责固定资产管理，固定资产管理人员要保持相对稳定，及时办理财产的验收、保管、领用登录、处理及日常管理工作，工作调动时必须办理交接手续。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color w:val="454545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454545"/>
          <w:spacing w:val="0"/>
          <w:sz w:val="32"/>
          <w:szCs w:val="32"/>
        </w:rPr>
        <w:t>三、机构管理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（十七）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公证处要建立健全处务会制度，集体研究处理重大事项。处务会每月至少召开一次，成员由主任、副主任、公证员代表和非公证员代表组成。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（十八）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公证处应建立重大事项报告制度。对本意见已经明确规定的报告事项以外，凡涉及队伍建设、内部管理和公证业务中的特别重大、可能影响社会稳定的办证事项，应主动、及时向主管司法局报告。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（十九）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公证处</w:t>
      </w:r>
      <w:r>
        <w:rPr>
          <w:rFonts w:hint="eastAsia" w:ascii="仿宋_GB2312" w:hAnsi="仿宋_GB2312" w:cs="仿宋_GB2312"/>
          <w:color w:val="454545"/>
          <w:spacing w:val="0"/>
          <w:sz w:val="32"/>
          <w:szCs w:val="32"/>
          <w:lang w:eastAsia="zh-CN"/>
        </w:rPr>
        <w:t>应积极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利用信息化手段提高管理效能。努力提高信息系统的应用和管理水平，促进办证和管理的规范化、标准化。有条件的公证处要利用网站、微博、微信等新媒体，开展多元化的宣传和服务。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FF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color w:val="454545"/>
          <w:spacing w:val="0"/>
          <w:sz w:val="32"/>
          <w:szCs w:val="32"/>
        </w:rPr>
        <w:t>四、薪酬管理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（二十）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建立与公证机构公益属性和服务职能相匹配的绩效考核制度，科学设定考核指标，综合岗位职责履行情况和德能勤绩表现情况进行考核评定。工资分配制度应与岗位绩效考核相结合，体现按劳分配、适度激励，兼顾公平的原则。具体分配方案由公证处制订，提交处务会民主讨论通过，报主管司法局备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　　</w:t>
      </w:r>
      <w:r>
        <w:rPr>
          <w:rFonts w:hint="eastAsia" w:ascii="黑体" w:hAnsi="黑体" w:eastAsia="黑体" w:cs="黑体"/>
          <w:color w:val="454545"/>
          <w:spacing w:val="0"/>
          <w:sz w:val="32"/>
          <w:szCs w:val="32"/>
        </w:rPr>
        <w:t>五、其他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color w:val="454545"/>
          <w:spacing w:val="0"/>
          <w:sz w:val="32"/>
          <w:szCs w:val="32"/>
        </w:rPr>
        <w:t>（二十一）</w:t>
      </w:r>
      <w:r>
        <w:rPr>
          <w:rFonts w:hint="eastAsia" w:ascii="仿宋_GB2312" w:hAnsi="仿宋_GB2312" w:eastAsia="仿宋_GB2312" w:cs="仿宋_GB2312"/>
          <w:color w:val="454545"/>
          <w:spacing w:val="0"/>
          <w:sz w:val="32"/>
          <w:szCs w:val="32"/>
        </w:rPr>
        <w:t>本意见由福建省司法厅负责解释，自发文之日起执行。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textAlignment w:val="auto"/>
        <w:outlineLvl w:val="9"/>
        <w:rPr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80" w:lineRule="exact"/>
        <w:ind w:left="0" w:leftChars="0" w:right="0" w:firstLine="616" w:firstLineChars="200"/>
        <w:jc w:val="both"/>
        <w:textAlignment w:val="baseline"/>
        <w:outlineLvl w:val="9"/>
        <w:rPr>
          <w:rFonts w:hint="eastAsia" w:ascii="仿宋_GB2312" w:hAnsi="仿宋_GB2312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80" w:lineRule="exact"/>
        <w:ind w:left="0" w:leftChars="0" w:right="0" w:firstLine="616" w:firstLineChars="200"/>
        <w:jc w:val="both"/>
        <w:textAlignment w:val="baseline"/>
        <w:outlineLvl w:val="9"/>
        <w:rPr>
          <w:rFonts w:hint="eastAsia" w:ascii="仿宋_GB2312" w:hAnsi="仿宋_GB2312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80" w:lineRule="exact"/>
        <w:ind w:left="0" w:leftChars="0" w:right="0" w:firstLine="616" w:firstLineChars="200"/>
        <w:jc w:val="both"/>
        <w:textAlignment w:val="baseline"/>
        <w:outlineLvl w:val="9"/>
        <w:rPr>
          <w:rFonts w:hint="eastAsia" w:ascii="仿宋_GB2312" w:hAnsi="仿宋_GB2312" w:eastAsia="仿宋_GB231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14FAB"/>
    <w:rsid w:val="4471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Lines="0" w:beforeAutospacing="1" w:after="100" w:afterLines="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2023-11-10T02:06:00Z</dcterms:created>
  <dc:creator>Administrator</dc:creator>
  <cp:lastModifiedBy>Administrator</cp:lastModifiedBy>
  <dcterms:modified xsi:type="dcterms:W3CDTF">2023-11-10T02:06:45Z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