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附件</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司法鉴定机构登记</w:t>
      </w:r>
      <w:bookmarkStart w:id="0" w:name="_GoBack"/>
      <w:r>
        <w:rPr>
          <w:rFonts w:hint="eastAsia" w:ascii="方正小标宋简体" w:hAnsi="方正小标宋简体" w:eastAsia="方正小标宋简体" w:cs="方正小标宋简体"/>
          <w:sz w:val="44"/>
          <w:szCs w:val="44"/>
          <w:lang w:val="en-US" w:eastAsia="zh-CN"/>
        </w:rPr>
        <w:t>评审标准细化表</w:t>
      </w:r>
      <w:bookmarkEnd w:id="0"/>
      <w:r>
        <w:rPr>
          <w:rFonts w:hint="eastAsia" w:ascii="方正小标宋简体" w:hAnsi="方正小标宋简体" w:eastAsia="方正小标宋简体" w:cs="方正小标宋简体"/>
          <w:sz w:val="44"/>
          <w:szCs w:val="44"/>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395"/>
        <w:gridCol w:w="30"/>
        <w:gridCol w:w="704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1425" w:type="dxa"/>
            <w:gridSpan w:val="2"/>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评审要素</w:t>
            </w:r>
          </w:p>
        </w:tc>
        <w:tc>
          <w:tcPr>
            <w:tcW w:w="7064" w:type="dxa"/>
            <w:gridSpan w:val="2"/>
            <w:noWrap w:val="0"/>
            <w:vAlign w:val="center"/>
          </w:tcPr>
          <w:p>
            <w:pPr>
              <w:jc w:val="both"/>
              <w:rPr>
                <w:rFonts w:hint="eastAsia"/>
                <w:b/>
                <w:bCs/>
                <w:sz w:val="28"/>
                <w:szCs w:val="28"/>
                <w:vertAlign w:val="baseline"/>
                <w:lang w:val="en-US" w:eastAsia="zh-CN"/>
              </w:rPr>
            </w:pPr>
            <w:r>
              <w:rPr>
                <w:rFonts w:hint="eastAsia"/>
                <w:b/>
                <w:bCs/>
                <w:sz w:val="28"/>
                <w:szCs w:val="28"/>
                <w:vertAlign w:val="baseline"/>
                <w:lang w:val="en-US" w:eastAsia="zh-CN"/>
              </w:rPr>
              <w:t xml:space="preserve">             评审要求与方法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038" w:type="dxa"/>
            <w:gridSpan w:val="5"/>
            <w:noWrap w:val="0"/>
            <w:vAlign w:val="center"/>
          </w:tcPr>
          <w:p>
            <w:pPr>
              <w:jc w:val="center"/>
              <w:rPr>
                <w:rFonts w:hint="eastAsia" w:eastAsia="宋体"/>
                <w:b/>
                <w:bCs/>
                <w:sz w:val="28"/>
                <w:szCs w:val="28"/>
                <w:vertAlign w:val="baseline"/>
                <w:lang w:val="en-US" w:eastAsia="zh-CN"/>
              </w:rPr>
            </w:pPr>
            <w:r>
              <w:rPr>
                <w:rFonts w:hint="eastAsia"/>
                <w:b/>
                <w:bCs/>
                <w:sz w:val="28"/>
                <w:szCs w:val="28"/>
                <w:vertAlign w:val="baseline"/>
                <w:lang w:val="en-US" w:eastAsia="zh-CN"/>
              </w:rPr>
              <w:t>一、机构部分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w:t>
            </w:r>
          </w:p>
        </w:tc>
        <w:tc>
          <w:tcPr>
            <w:tcW w:w="1425" w:type="dxa"/>
            <w:gridSpan w:val="2"/>
            <w:noWrap w:val="0"/>
            <w:vAlign w:val="center"/>
          </w:tcPr>
          <w:p>
            <w:pPr>
              <w:spacing w:beforeLines="0" w:afterLines="0" w:line="400" w:lineRule="exact"/>
              <w:jc w:val="both"/>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鉴定机构能力（30分）</w:t>
            </w:r>
          </w:p>
        </w:tc>
        <w:tc>
          <w:tcPr>
            <w:tcW w:w="70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1.鉴定机构能力30分中，能力符合性占25分，能力涵盖面占5分。能力符合性25分中，基本分占20分，加分项占5分。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2.基本分按照申请人具备的技术能力数量及程度打分。先计算每项技术能力所占分值，公式为：20分÷技术能力项数；再根据现场考核情况，评价申请人对每项技术能力的掌握程度，给予相应分数。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3.有5个鉴定案例的，根据案例与所申请专业领域的相关性及完成质量，加3-5分。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4.有参加能力验证的，根据能力验证结果，加3-5分。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5.有参加测量审核的，根据测量审核结果，加1-3分。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6.鉴定机构新吸收的鉴定人，实际服务期限未达2个月的，其个人能力不视为鉴定机构能力。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w:t>
            </w:r>
          </w:p>
        </w:tc>
        <w:tc>
          <w:tcPr>
            <w:tcW w:w="1425" w:type="dxa"/>
            <w:gridSpan w:val="2"/>
            <w:noWrap w:val="0"/>
            <w:vAlign w:val="center"/>
          </w:tcPr>
          <w:p>
            <w:pPr>
              <w:spacing w:beforeLines="0" w:afterLines="0" w:line="400" w:lineRule="exact"/>
              <w:jc w:val="both"/>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实验室资质（10分）</w:t>
            </w:r>
          </w:p>
        </w:tc>
        <w:tc>
          <w:tcPr>
            <w:tcW w:w="7064" w:type="dxa"/>
            <w:gridSpan w:val="2"/>
            <w:noWrap w:val="0"/>
            <w:vAlign w:val="center"/>
          </w:tcPr>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法医毒物、法医物证、微量鉴定、环境损害鉴定等4类，准入前必须通过资质认定或者实验室认可。否则，不予通过。</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其他司法鉴定类别，准入前没有通过资质认定或实验室认可的，可以参加评审，但本评审要素不得分。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3</w:t>
            </w:r>
          </w:p>
        </w:tc>
        <w:tc>
          <w:tcPr>
            <w:tcW w:w="1425" w:type="dxa"/>
            <w:gridSpan w:val="2"/>
            <w:noWrap w:val="0"/>
            <w:vAlign w:val="center"/>
          </w:tcPr>
          <w:p>
            <w:pPr>
              <w:spacing w:beforeLines="0" w:afterLines="0" w:line="400" w:lineRule="exact"/>
              <w:jc w:val="both"/>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场所设施（10分）</w:t>
            </w:r>
          </w:p>
        </w:tc>
        <w:tc>
          <w:tcPr>
            <w:tcW w:w="7064" w:type="dxa"/>
            <w:gridSpan w:val="2"/>
            <w:noWrap w:val="0"/>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实验室面积以实际使用面积为准。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不同专业领域共用实验室的，面积要作相应折算，即面积÷专业领域数量。</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要考虑实验室功能布局、安全生产、环境卫生等因素打分。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4</w:t>
            </w:r>
          </w:p>
        </w:tc>
        <w:tc>
          <w:tcPr>
            <w:tcW w:w="1425" w:type="dxa"/>
            <w:gridSpan w:val="2"/>
            <w:noWrap w:val="0"/>
            <w:vAlign w:val="center"/>
          </w:tcPr>
          <w:p>
            <w:pPr>
              <w:spacing w:beforeLines="0" w:afterLines="0" w:line="300" w:lineRule="exact"/>
              <w:jc w:val="both"/>
              <w:rPr>
                <w:rFonts w:hint="eastAsia" w:ascii="宋体" w:hAnsi="宋体" w:eastAsia="宋体" w:cs="宋体"/>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仪器配置（15分）</w:t>
            </w:r>
          </w:p>
        </w:tc>
        <w:tc>
          <w:tcPr>
            <w:tcW w:w="7064" w:type="dxa"/>
            <w:gridSpan w:val="2"/>
            <w:noWrap w:val="0"/>
            <w:vAlign w:val="center"/>
          </w:tcPr>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《仪器设备配置要求》只列必备仪器设备的，按照设备符合要求情况评分，配置不全的不得分。</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仪器设备配置要求》既有必备仪器设备，又有选配仪器设备的，必备仪器设备分值占12分，按照设备符合要求情况评分。选配仪器设备分值占3分，按照实际配置的数量占比评分，计算公式为3分×实际配置数量÷全部选配仪器数量，按四舍五入取整。</w:t>
            </w:r>
          </w:p>
          <w:p>
            <w:pPr>
              <w:keepNext w:val="0"/>
              <w:keepLines w:val="0"/>
              <w:pageBreakBefore w:val="0"/>
              <w:widowControl w:val="0"/>
              <w:numPr>
                <w:ilvl w:val="0"/>
                <w:numId w:val="3"/>
              </w:numPr>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仪器设备要严格核查其功能是否满足所申报项目检查检测要求，基本满足要求的扣1-3分，不满足要求的不得分（严查二手仪器设备功能）。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5</w:t>
            </w:r>
          </w:p>
        </w:tc>
        <w:tc>
          <w:tcPr>
            <w:tcW w:w="1425" w:type="dxa"/>
            <w:gridSpan w:val="2"/>
            <w:noWrap w:val="0"/>
            <w:vAlign w:val="center"/>
          </w:tcPr>
          <w:p>
            <w:pPr>
              <w:spacing w:beforeLines="0" w:afterLines="0" w:line="300" w:lineRule="exact"/>
              <w:jc w:val="both"/>
              <w:rPr>
                <w:rFonts w:hint="eastAsia"/>
                <w:b/>
                <w:bCs/>
                <w:spacing w:val="0"/>
                <w:sz w:val="24"/>
                <w:szCs w:val="24"/>
                <w:vertAlign w:val="baseline"/>
                <w:lang w:val="en-US" w:eastAsia="zh-CN"/>
              </w:rPr>
            </w:pPr>
            <w:r>
              <w:rPr>
                <w:rFonts w:hint="eastAsia" w:ascii="宋体" w:hAnsi="宋体" w:eastAsia="宋体" w:cs="宋体"/>
                <w:b/>
                <w:bCs/>
                <w:spacing w:val="0"/>
                <w:sz w:val="24"/>
                <w:szCs w:val="24"/>
                <w:vertAlign w:val="baseline"/>
                <w:lang w:val="en-US" w:eastAsia="zh-CN"/>
              </w:rPr>
              <w:t>仪器维护使用情况（5分）</w:t>
            </w:r>
          </w:p>
        </w:tc>
        <w:tc>
          <w:tcPr>
            <w:tcW w:w="706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查主要仪器设备档案（是否取得检定/校准证书，是否保存使用、维护记录等），每缺一项扣1分，扣完为止。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72" w:hRule="atLeast"/>
          <w:jc w:val="center"/>
        </w:trPr>
        <w:tc>
          <w:tcPr>
            <w:tcW w:w="9023" w:type="dxa"/>
            <w:gridSpan w:val="4"/>
            <w:noWrap w:val="0"/>
            <w:vAlign w:val="center"/>
          </w:tcPr>
          <w:p>
            <w:pPr>
              <w:spacing w:beforeLines="0" w:afterLines="0" w:line="300" w:lineRule="exact"/>
              <w:jc w:val="center"/>
              <w:rPr>
                <w:rFonts w:hint="eastAsia"/>
                <w:b/>
                <w:bCs/>
                <w:spacing w:val="0"/>
                <w:sz w:val="28"/>
                <w:szCs w:val="28"/>
                <w:vertAlign w:val="baseline"/>
                <w:lang w:val="en-US" w:eastAsia="zh-CN"/>
              </w:rPr>
            </w:pPr>
            <w:r>
              <w:rPr>
                <w:rFonts w:hint="eastAsia"/>
                <w:b/>
                <w:bCs/>
                <w:spacing w:val="0"/>
                <w:sz w:val="28"/>
                <w:szCs w:val="28"/>
                <w:vertAlign w:val="baseline"/>
                <w:lang w:val="en-US" w:eastAsia="zh-CN"/>
              </w:rPr>
              <w:t>二、人员部分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00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6</w:t>
            </w:r>
          </w:p>
        </w:tc>
        <w:tc>
          <w:tcPr>
            <w:tcW w:w="1395" w:type="dxa"/>
            <w:noWrap w:val="0"/>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职业道德（5分）</w:t>
            </w:r>
          </w:p>
        </w:tc>
        <w:tc>
          <w:tcPr>
            <w:tcW w:w="70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近5年内有行政处罚、行政处理、行业处分记录的，扣相应分数。行政处罚扣2分，行政处理和行业处分扣1分。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116"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7</w:t>
            </w:r>
          </w:p>
        </w:tc>
        <w:tc>
          <w:tcPr>
            <w:tcW w:w="1395" w:type="dxa"/>
            <w:noWrap w:val="0"/>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人员从业经历（15分）</w:t>
            </w:r>
          </w:p>
        </w:tc>
        <w:tc>
          <w:tcPr>
            <w:tcW w:w="70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从业经历年限特别是加分年限（超过基本要求的年限）的认定，要有充分的依据，不得简单以劳动合同、社保年限、各种证书颁发日期认定，要确有参与案件的佐证资料。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15"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8</w:t>
            </w:r>
          </w:p>
        </w:tc>
        <w:tc>
          <w:tcPr>
            <w:tcW w:w="1395" w:type="dxa"/>
            <w:noWrap w:val="0"/>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专业技术能力（45分）</w:t>
            </w:r>
          </w:p>
        </w:tc>
        <w:tc>
          <w:tcPr>
            <w:tcW w:w="707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1.专业技术能力45分，基本分占40分，加分项5分。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2.基本分按照申请人具备的技术能力项数及程度打分。先计算每项技术能力的平均分，公式为：40分÷技术能力项数；再根据现场答辩、演示、试验情况，核定每项技术能力的掌握程度，按照一般、良好、优秀三个档次打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3.申请人有参加本专业领域准入考核的，综合卷或专业卷超过70分的，每科加1分；超过80分的，每科加2分。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36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4.为司法鉴定科学研究院能力验证或者测量审核出题或者作为评审专家的，每项工作加1分。我省省级司法行政部门或省司法鉴定协会聘请讲课、为投诉处理工作出具专家意见、为准入考试出题或改卷，或者作为本省专业领域技术规范主要起草人等，每项工作加1分。</w:t>
            </w:r>
          </w:p>
          <w:p>
            <w:pPr>
              <w:keepNext w:val="0"/>
              <w:keepLines w:val="0"/>
              <w:pageBreakBefore w:val="0"/>
              <w:widowControl w:val="0"/>
              <w:kinsoku/>
              <w:wordWrap/>
              <w:overflowPunct/>
              <w:topLinePunct w:val="0"/>
              <w:autoSpaceDE/>
              <w:autoSpaceDN/>
              <w:bidi w:val="0"/>
              <w:adjustRightInd w:val="0"/>
              <w:snapToGrid w:val="0"/>
              <w:spacing w:beforeLines="0" w:afterLines="0" w:line="36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5.对司法机关和企事业单位退休人员，重点审查其设备操作技能、技术规范掌握程度、基本法律素质、知识更新情况。专业知识更新或操作技能有欠缺的，不得评为优秀档次。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102"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9</w:t>
            </w:r>
          </w:p>
        </w:tc>
        <w:tc>
          <w:tcPr>
            <w:tcW w:w="1395" w:type="dxa"/>
            <w:noWrap w:val="0"/>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科研成果（6分）</w:t>
            </w:r>
          </w:p>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论著成果（6分）</w:t>
            </w:r>
          </w:p>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获奖成果（6分）</w:t>
            </w:r>
          </w:p>
        </w:tc>
        <w:tc>
          <w:tcPr>
            <w:tcW w:w="707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按照参与者排名顺序从高到低给分，一项成果有多个参与人的，参与人得分总和不超过该项成果的总分值。比如，成果分值6分。参与者1人，得6分；参与者2人，分别得4分、2分；参与者3人，分别得3分、2分、1分；参与者3人以上的，依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250" w:hRule="atLeast"/>
          <w:jc w:val="center"/>
        </w:trPr>
        <w:tc>
          <w:tcPr>
            <w:tcW w:w="549"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10</w:t>
            </w:r>
          </w:p>
        </w:tc>
        <w:tc>
          <w:tcPr>
            <w:tcW w:w="1395" w:type="dxa"/>
            <w:noWrap w:val="0"/>
            <w:vAlign w:val="center"/>
          </w:tcPr>
          <w:p>
            <w:pPr>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司法鉴定专业培训交流情况（12分）</w:t>
            </w:r>
          </w:p>
        </w:tc>
        <w:tc>
          <w:tcPr>
            <w:tcW w:w="707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1.近两年年度培训（每年4分）。鉴定人年度培训要求每年50学时。上半年评审的，不考评本年度。下半年评审的，可以考评本年度，上半年达到25学时视为达标。具体计算方法为：4分×实际培训学时÷50学时/25学时,四舍五入取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400" w:lineRule="exact"/>
              <w:ind w:left="0" w:leftChars="0" w:right="0" w:rightChars="0" w:firstLine="0" w:firstLineChars="0"/>
              <w:jc w:val="both"/>
              <w:textAlignment w:val="auto"/>
              <w:outlineLvl w:val="9"/>
              <w:rPr>
                <w:rFonts w:hint="eastAsia" w:ascii="宋体" w:hAnsi="宋体" w:eastAsia="宋体" w:cs="宋体"/>
                <w:spacing w:val="0"/>
                <w:sz w:val="24"/>
                <w:szCs w:val="24"/>
                <w:vertAlign w:val="baseline"/>
                <w:lang w:val="en-US" w:eastAsia="zh-CN"/>
              </w:rPr>
            </w:pPr>
            <w:r>
              <w:rPr>
                <w:rFonts w:hint="eastAsia" w:ascii="宋体" w:hAnsi="宋体" w:eastAsia="宋体" w:cs="宋体"/>
                <w:spacing w:val="0"/>
                <w:sz w:val="24"/>
                <w:szCs w:val="24"/>
                <w:vertAlign w:val="baseline"/>
                <w:lang w:val="en-US" w:eastAsia="zh-CN"/>
              </w:rPr>
              <w:t>2.专业培训、会议（4分）。省级司法行政机关或司法鉴定协会组织的岗前培训，视为专业培训。</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cs="仿宋_GB2312"/>
          <w:b w:val="0"/>
          <w:bCs w:val="0"/>
          <w:color w:val="auto"/>
          <w:spacing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cs="仿宋_GB2312"/>
          <w:b w:val="0"/>
          <w:bCs w:val="0"/>
          <w:color w:val="auto"/>
          <w:spacing w:val="0"/>
          <w:sz w:val="24"/>
          <w:szCs w:val="24"/>
          <w:lang w:val="en-US" w:eastAsia="zh-CN"/>
        </w:rPr>
      </w:pPr>
      <w:r>
        <w:rPr>
          <w:rFonts w:hint="eastAsia" w:ascii="仿宋_GB2312" w:hAnsi="仿宋_GB2312" w:cs="仿宋_GB2312"/>
          <w:b w:val="0"/>
          <w:bCs w:val="0"/>
          <w:color w:val="auto"/>
          <w:spacing w:val="0"/>
          <w:sz w:val="24"/>
          <w:szCs w:val="24"/>
          <w:lang w:val="en-US" w:eastAsia="zh-CN"/>
        </w:rPr>
        <w:t>注：本表作为《法医类 物证类 声像资料司法鉴定机构登记评审细则》附件《评分表》的补充，与《评分表》配套使用。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67475"/>
    <w:multiLevelType w:val="singleLevel"/>
    <w:tmpl w:val="60E67475"/>
    <w:lvl w:ilvl="0" w:tentative="0">
      <w:start w:val="1"/>
      <w:numFmt w:val="decimal"/>
      <w:suff w:val="nothing"/>
      <w:lvlText w:val="%1."/>
      <w:lvlJc w:val="left"/>
    </w:lvl>
  </w:abstractNum>
  <w:abstractNum w:abstractNumId="1">
    <w:nsid w:val="60E69E03"/>
    <w:multiLevelType w:val="singleLevel"/>
    <w:tmpl w:val="60E69E03"/>
    <w:lvl w:ilvl="0" w:tentative="0">
      <w:start w:val="1"/>
      <w:numFmt w:val="decimal"/>
      <w:suff w:val="nothing"/>
      <w:lvlText w:val="%1."/>
      <w:lvlJc w:val="left"/>
    </w:lvl>
  </w:abstractNum>
  <w:abstractNum w:abstractNumId="2">
    <w:nsid w:val="60E69EFA"/>
    <w:multiLevelType w:val="singleLevel"/>
    <w:tmpl w:val="60E69EF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74653"/>
    <w:rsid w:val="1177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2021-09-17T07:50:00Z</dcterms:created>
  <dc:creator>陈弈</dc:creator>
  <cp:lastModifiedBy>陈弈</cp:lastModifiedBy>
  <dcterms:modified xsi:type="dcterms:W3CDTF">2021-09-17T07:51:18Z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AE38905EC7474C7B99B17516E7448FC5</vt:lpwstr>
  </property>
</Properties>
</file>